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3jwftvkuyc06" w:id="0"/>
      <w:bookmarkEnd w:id="0"/>
      <w:r w:rsidDel="00000000" w:rsidR="00000000" w:rsidRPr="00000000">
        <w:rPr>
          <w:rtl w:val="0"/>
        </w:rPr>
        <w:t xml:space="preserve">Accessibility Statement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highlight w:val="yellow"/>
          <w:rtl w:val="0"/>
        </w:rPr>
        <w:t xml:space="preserve">&lt;Company name&gt;</w:t>
      </w:r>
      <w:r w:rsidDel="00000000" w:rsidR="00000000" w:rsidRPr="00000000">
        <w:rPr>
          <w:rtl w:val="0"/>
        </w:rPr>
        <w:t xml:space="preserve"> is committed to providing information and services in a non-discriminatory and accessible way. This is a requirement under the </w:t>
      </w:r>
      <w:hyperlink r:id="rId6">
        <w:r w:rsidDel="00000000" w:rsidR="00000000" w:rsidRPr="00000000">
          <w:rPr>
            <w:color w:val="1155cc"/>
            <w:u w:val="single"/>
            <w:rtl w:val="0"/>
          </w:rPr>
          <w:t xml:space="preserve">Disability Discrimination Act 1992</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We also aim to meet the Australian Government’s web accessibility requirements. </w:t>
        <w:br w:type="textWrapping"/>
        <w:t xml:space="preserve">This includes meeting the World Wide Web Consortium’s </w:t>
      </w:r>
      <w:hyperlink r:id="rId7">
        <w:r w:rsidDel="00000000" w:rsidR="00000000" w:rsidRPr="00000000">
          <w:rPr>
            <w:color w:val="1155cc"/>
            <w:u w:val="single"/>
            <w:rtl w:val="0"/>
          </w:rPr>
          <w:t xml:space="preserve">Web Content Accessibility Guidelines version 2.1 (WCAG 2.1)</w:t>
        </w:r>
      </w:hyperlink>
      <w:r w:rsidDel="00000000" w:rsidR="00000000" w:rsidRPr="00000000">
        <w:rPr>
          <w:rtl w:val="0"/>
        </w:rPr>
        <w:t xml:space="preserve"> at level AA.</w:t>
        <w:br w:type="textWrapping"/>
      </w:r>
    </w:p>
    <w:p w:rsidR="00000000" w:rsidDel="00000000" w:rsidP="00000000" w:rsidRDefault="00000000" w:rsidRPr="00000000" w14:paraId="00000005">
      <w:pPr>
        <w:rPr/>
      </w:pPr>
      <w:r w:rsidDel="00000000" w:rsidR="00000000" w:rsidRPr="00000000">
        <w:rPr>
          <w:rtl w:val="0"/>
        </w:rPr>
        <w:t xml:space="preserve">This statement applies to all pages and information on our website at </w:t>
      </w:r>
      <w:r w:rsidDel="00000000" w:rsidR="00000000" w:rsidRPr="00000000">
        <w:rPr>
          <w:highlight w:val="yellow"/>
          <w:rtl w:val="0"/>
        </w:rPr>
        <w:t xml:space="preserve">&lt;website URL&gt;</w:t>
      </w:r>
      <w:r w:rsidDel="00000000" w:rsidR="00000000" w:rsidRPr="00000000">
        <w:rPr>
          <w:rtl w:val="0"/>
        </w:rPr>
        <w:t xml:space="preserve">. Other online resources that we link to may have accessibility limitations.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rPr/>
      </w:pPr>
      <w:bookmarkStart w:colFirst="0" w:colLast="0" w:name="_9p1ujhbeq3ms" w:id="1"/>
      <w:bookmarkEnd w:id="1"/>
      <w:r w:rsidDel="00000000" w:rsidR="00000000" w:rsidRPr="00000000">
        <w:rPr>
          <w:rtl w:val="0"/>
        </w:rPr>
        <w:t xml:space="preserve">Third-party applications</w:t>
      </w:r>
    </w:p>
    <w:p w:rsidR="00000000" w:rsidDel="00000000" w:rsidP="00000000" w:rsidRDefault="00000000" w:rsidRPr="00000000" w14:paraId="00000008">
      <w:pPr>
        <w:rPr/>
      </w:pPr>
      <w:r w:rsidDel="00000000" w:rsidR="00000000" w:rsidRPr="00000000">
        <w:rPr>
          <w:rtl w:val="0"/>
        </w:rPr>
        <w:t xml:space="preserve">In some areas of our website, we use software applications that we don’t own. These might include messaging apps, calendars, and video players. While we try to use third-party apps that share our commitment to accessibility, their functionality is outside of our control.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Subtitle"/>
        <w:rPr>
          <w:highlight w:val="yellow"/>
        </w:rPr>
      </w:pPr>
      <w:bookmarkStart w:colFirst="0" w:colLast="0" w:name="_duyczkiaserf" w:id="2"/>
      <w:bookmarkEnd w:id="2"/>
      <w:r w:rsidDel="00000000" w:rsidR="00000000" w:rsidRPr="00000000">
        <w:rPr>
          <w:i w:val="1"/>
          <w:sz w:val="28"/>
          <w:szCs w:val="28"/>
          <w:highlight w:val="yellow"/>
          <w:rtl w:val="0"/>
        </w:rPr>
        <w:t xml:space="preserve">--- Add only if using a widget ---</w:t>
      </w:r>
      <w:r w:rsidDel="00000000" w:rsidR="00000000" w:rsidRPr="00000000">
        <w:rPr>
          <w:rtl w:val="0"/>
        </w:rPr>
      </w:r>
    </w:p>
    <w:p w:rsidR="00000000" w:rsidDel="00000000" w:rsidP="00000000" w:rsidRDefault="00000000" w:rsidRPr="00000000" w14:paraId="0000000B">
      <w:pPr>
        <w:pStyle w:val="Heading3"/>
        <w:rPr/>
      </w:pPr>
      <w:bookmarkStart w:colFirst="0" w:colLast="0" w:name="_ygb6pqknir0d" w:id="3"/>
      <w:bookmarkEnd w:id="3"/>
      <w:r w:rsidDel="00000000" w:rsidR="00000000" w:rsidRPr="00000000">
        <w:rPr>
          <w:rtl w:val="0"/>
        </w:rPr>
        <w:t xml:space="preserve">Accessibility Widget</w:t>
      </w:r>
    </w:p>
    <w:p w:rsidR="00000000" w:rsidDel="00000000" w:rsidP="00000000" w:rsidRDefault="00000000" w:rsidRPr="00000000" w14:paraId="0000000C">
      <w:pPr>
        <w:rPr/>
      </w:pPr>
      <w:r w:rsidDel="00000000" w:rsidR="00000000" w:rsidRPr="00000000">
        <w:rPr>
          <w:highlight w:val="yellow"/>
          <w:rtl w:val="0"/>
        </w:rPr>
        <w:t xml:space="preserve">&lt;Company Name&gt;</w:t>
      </w:r>
      <w:r w:rsidDel="00000000" w:rsidR="00000000" w:rsidRPr="00000000">
        <w:rPr>
          <w:rtl w:val="0"/>
        </w:rPr>
        <w:t xml:space="preserve">  also makes UserWay’s Web Accessibility Widget available. The widget is powered by a dedicated accessibility server. The software allows </w:t>
      </w:r>
      <w:r w:rsidDel="00000000" w:rsidR="00000000" w:rsidRPr="00000000">
        <w:rPr>
          <w:highlight w:val="yellow"/>
          <w:rtl w:val="0"/>
        </w:rPr>
        <w:t xml:space="preserve">&lt;website URL&gt;</w:t>
      </w:r>
      <w:r w:rsidDel="00000000" w:rsidR="00000000" w:rsidRPr="00000000">
        <w:rPr>
          <w:rtl w:val="0"/>
        </w:rPr>
        <w:t xml:space="preserve">  to improve its compliance with the Web Content Accessibility Guidelines (WCAG 2.1).</w:t>
      </w:r>
    </w:p>
    <w:p w:rsidR="00000000" w:rsidDel="00000000" w:rsidP="00000000" w:rsidRDefault="00000000" w:rsidRPr="00000000" w14:paraId="0000000D">
      <w:pPr>
        <w:pStyle w:val="Heading2"/>
        <w:rPr/>
      </w:pPr>
      <w:bookmarkStart w:colFirst="0" w:colLast="0" w:name="_q6430mlw4v58" w:id="4"/>
      <w:bookmarkEnd w:id="4"/>
      <w:r w:rsidDel="00000000" w:rsidR="00000000" w:rsidRPr="00000000">
        <w:rPr>
          <w:rtl w:val="0"/>
        </w:rPr>
        <w:t xml:space="preserve">Disclaimer</w:t>
      </w:r>
    </w:p>
    <w:p w:rsidR="00000000" w:rsidDel="00000000" w:rsidP="00000000" w:rsidRDefault="00000000" w:rsidRPr="00000000" w14:paraId="0000000E">
      <w:pPr>
        <w:rPr/>
      </w:pPr>
      <w:r w:rsidDel="00000000" w:rsidR="00000000" w:rsidRPr="00000000">
        <w:rPr>
          <w:highlight w:val="yellow"/>
          <w:rtl w:val="0"/>
        </w:rPr>
        <w:t xml:space="preserve">&lt;Company Name&gt;</w:t>
      </w:r>
      <w:r w:rsidDel="00000000" w:rsidR="00000000" w:rsidRPr="00000000">
        <w:rPr>
          <w:rtl w:val="0"/>
        </w:rPr>
        <w:t xml:space="preserve"> continues our efforts to constantly improve the accessibility of our sites. Despite our efforts to make all pages and content on </w:t>
      </w:r>
      <w:r w:rsidDel="00000000" w:rsidR="00000000" w:rsidRPr="00000000">
        <w:rPr>
          <w:highlight w:val="yellow"/>
          <w:rtl w:val="0"/>
        </w:rPr>
        <w:t xml:space="preserve">&lt;website URL&gt;</w:t>
      </w:r>
      <w:r w:rsidDel="00000000" w:rsidR="00000000" w:rsidRPr="00000000">
        <w:rPr>
          <w:rtl w:val="0"/>
        </w:rPr>
        <w:t xml:space="preserve"> fully accessible, some content may not have yet been fully adapted to the strictest accessibility standards. This may be a result of not having found or identified the most appropriate technological solution.</w:t>
        <w:br w:type="textWrapping"/>
      </w:r>
    </w:p>
    <w:p w:rsidR="00000000" w:rsidDel="00000000" w:rsidP="00000000" w:rsidRDefault="00000000" w:rsidRPr="00000000" w14:paraId="0000000F">
      <w:pPr>
        <w:pStyle w:val="Heading2"/>
        <w:rPr/>
      </w:pPr>
      <w:bookmarkStart w:colFirst="0" w:colLast="0" w:name="_7f41pa5k2qnk" w:id="5"/>
      <w:bookmarkEnd w:id="5"/>
      <w:r w:rsidDel="00000000" w:rsidR="00000000" w:rsidRPr="00000000">
        <w:rPr>
          <w:rtl w:val="0"/>
        </w:rPr>
        <w:t xml:space="preserve">Accessibility questions and feedback</w:t>
      </w:r>
    </w:p>
    <w:p w:rsidR="00000000" w:rsidDel="00000000" w:rsidP="00000000" w:rsidRDefault="00000000" w:rsidRPr="00000000" w14:paraId="00000010">
      <w:pPr>
        <w:rPr/>
      </w:pPr>
      <w:r w:rsidDel="00000000" w:rsidR="00000000" w:rsidRPr="00000000">
        <w:rPr>
          <w:rtl w:val="0"/>
        </w:rPr>
        <w:t xml:space="preserve">If you find anything on our website difficult to use, please reach out to let us know. We welcome all constructive feedback. We'll send it to our technical teams for careful consideration. Because we aim to deliver fair outcomes for everyone, we </w:t>
      </w:r>
      <w:r w:rsidDel="00000000" w:rsidR="00000000" w:rsidRPr="00000000">
        <w:rPr>
          <w:rtl w:val="0"/>
        </w:rPr>
        <w:t xml:space="preserve">prioritise</w:t>
      </w:r>
      <w:r w:rsidDel="00000000" w:rsidR="00000000" w:rsidRPr="00000000">
        <w:rPr>
          <w:rtl w:val="0"/>
        </w:rPr>
        <w:t xml:space="preserve"> accessibility complaints.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rPr/>
      </w:pPr>
      <w:bookmarkStart w:colFirst="0" w:colLast="0" w:name="_kziarkd2u8ga" w:id="6"/>
      <w:bookmarkEnd w:id="6"/>
      <w:r w:rsidDel="00000000" w:rsidR="00000000" w:rsidRPr="00000000">
        <w:rPr>
          <w:rtl w:val="0"/>
        </w:rPr>
        <w:t xml:space="preserve">Contact us</w:t>
      </w:r>
    </w:p>
    <w:p w:rsidR="00000000" w:rsidDel="00000000" w:rsidP="00000000" w:rsidRDefault="00000000" w:rsidRPr="00000000" w14:paraId="00000013">
      <w:pPr>
        <w:rPr/>
      </w:pPr>
      <w:r w:rsidDel="00000000" w:rsidR="00000000" w:rsidRPr="00000000">
        <w:rPr>
          <w:rtl w:val="0"/>
        </w:rPr>
        <w:t xml:space="preserve">For all accessibility issues and feedback, you can contact us via email or post.</w:t>
      </w:r>
    </w:p>
    <w:p w:rsidR="00000000" w:rsidDel="00000000" w:rsidP="00000000" w:rsidRDefault="00000000" w:rsidRPr="00000000" w14:paraId="00000014">
      <w:pPr>
        <w:rPr>
          <w:highlight w:val="yellow"/>
        </w:rPr>
      </w:pPr>
      <w:r w:rsidDel="00000000" w:rsidR="00000000" w:rsidRPr="00000000">
        <w:rPr>
          <w:rFonts w:ascii="Nunito" w:cs="Nunito" w:eastAsia="Nunito" w:hAnsi="Nunito"/>
          <w:b w:val="1"/>
          <w:rtl w:val="0"/>
        </w:rPr>
        <w:t xml:space="preserve">Email: </w:t>
      </w:r>
      <w:r w:rsidDel="00000000" w:rsidR="00000000" w:rsidRPr="00000000">
        <w:rPr>
          <w:highlight w:val="yellow"/>
          <w:rtl w:val="0"/>
        </w:rPr>
        <w:t xml:space="preserve">&lt;email&gt;</w:t>
      </w:r>
    </w:p>
    <w:p w:rsidR="00000000" w:rsidDel="00000000" w:rsidP="00000000" w:rsidRDefault="00000000" w:rsidRPr="00000000" w14:paraId="00000015">
      <w:pPr>
        <w:rPr>
          <w:rFonts w:ascii="Nunito" w:cs="Nunito" w:eastAsia="Nunito" w:hAnsi="Nunito"/>
          <w:b w:val="1"/>
        </w:rPr>
      </w:pPr>
      <w:r w:rsidDel="00000000" w:rsidR="00000000" w:rsidRPr="00000000">
        <w:rPr>
          <w:rFonts w:ascii="Nunito" w:cs="Nunito" w:eastAsia="Nunito" w:hAnsi="Nunito"/>
          <w:b w:val="1"/>
          <w:rtl w:val="0"/>
        </w:rPr>
        <w:t xml:space="preserve">Postal address:</w:t>
      </w:r>
    </w:p>
    <w:p w:rsidR="00000000" w:rsidDel="00000000" w:rsidP="00000000" w:rsidRDefault="00000000" w:rsidRPr="00000000" w14:paraId="00000016">
      <w:pPr>
        <w:rPr>
          <w:highlight w:val="yellow"/>
        </w:rPr>
      </w:pPr>
      <w:r w:rsidDel="00000000" w:rsidR="00000000" w:rsidRPr="00000000">
        <w:rPr>
          <w:highlight w:val="yellow"/>
          <w:rtl w:val="0"/>
        </w:rPr>
        <w:t xml:space="preserve">&lt;address&gt;</w:t>
      </w:r>
    </w:p>
    <w:p w:rsidR="00000000" w:rsidDel="00000000" w:rsidP="00000000" w:rsidRDefault="00000000" w:rsidRPr="00000000" w14:paraId="00000017">
      <w:pPr>
        <w:rPr>
          <w:highlight w:val="yellow"/>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Make sure you include the following details in your message:</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Your name.</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Your contact details so that we can reply to you.</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A summary of the accessibility problem or your ideas for improvement.</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Extra information that might help us understand your experience. For example, screenshots or recordings.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This statement was last updated on &lt;date&gt;.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unit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unito Light">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Lato" w:cs="Lato" w:eastAsia="Lato" w:hAnsi="Lato"/>
        <w:color w:val="3b3b3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Light" w:cs="Nunito Light" w:eastAsia="Nunito Light" w:hAnsi="Nunito Light"/>
        <w:color w:val="1d304a"/>
        <w:sz w:val="26"/>
        <w:szCs w:val="2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line="240" w:lineRule="auto"/>
    </w:pPr>
    <w:rPr>
      <w:rFonts w:ascii="Nunito SemiBold" w:cs="Nunito SemiBold" w:eastAsia="Nunito SemiBold" w:hAnsi="Nunito SemiBold"/>
      <w:color w:val="dc03ae"/>
      <w:sz w:val="48"/>
      <w:szCs w:val="48"/>
    </w:rPr>
  </w:style>
  <w:style w:type="paragraph" w:styleId="Heading2">
    <w:name w:val="heading 2"/>
    <w:basedOn w:val="Normal"/>
    <w:next w:val="Normal"/>
    <w:pPr>
      <w:keepNext w:val="1"/>
      <w:keepLines w:val="1"/>
      <w:pageBreakBefore w:val="0"/>
      <w:shd w:fill="ffffff" w:val="clear"/>
      <w:spacing w:after="80" w:before="280" w:line="240" w:lineRule="auto"/>
    </w:pPr>
    <w:rPr>
      <w:rFonts w:ascii="Nunito SemiBold" w:cs="Nunito SemiBold" w:eastAsia="Nunito SemiBold" w:hAnsi="Nunito SemiBold"/>
      <w:color w:val="045499"/>
      <w:sz w:val="40"/>
      <w:szCs w:val="40"/>
    </w:rPr>
  </w:style>
  <w:style w:type="paragraph" w:styleId="Heading3">
    <w:name w:val="heading 3"/>
    <w:basedOn w:val="Normal"/>
    <w:next w:val="Normal"/>
    <w:pPr>
      <w:keepNext w:val="1"/>
      <w:keepLines w:val="1"/>
      <w:pageBreakBefore w:val="0"/>
      <w:shd w:fill="ffffff" w:val="clear"/>
      <w:spacing w:after="40" w:before="240" w:line="288" w:lineRule="auto"/>
    </w:pPr>
    <w:rPr>
      <w:rFonts w:ascii="Nunito" w:cs="Nunito" w:eastAsia="Nunito" w:hAnsi="Nunito"/>
      <w:color w:val="dc03ae"/>
      <w:sz w:val="32"/>
      <w:szCs w:val="32"/>
    </w:rPr>
  </w:style>
  <w:style w:type="paragraph" w:styleId="Heading4">
    <w:name w:val="heading 4"/>
    <w:basedOn w:val="Normal"/>
    <w:next w:val="Normal"/>
    <w:pPr>
      <w:keepNext w:val="1"/>
      <w:keepLines w:val="1"/>
      <w:pageBreakBefore w:val="0"/>
      <w:shd w:fill="ffffff" w:val="clear"/>
      <w:spacing w:after="40" w:before="240" w:line="288" w:lineRule="auto"/>
    </w:pPr>
    <w:rPr>
      <w:rFonts w:ascii="Nunito" w:cs="Nunito" w:eastAsia="Nunito" w:hAnsi="Nunito"/>
      <w:sz w:val="30"/>
      <w:szCs w:val="30"/>
    </w:rPr>
  </w:style>
  <w:style w:type="paragraph" w:styleId="Heading5">
    <w:name w:val="heading 5"/>
    <w:basedOn w:val="Normal"/>
    <w:next w:val="Normal"/>
    <w:pPr>
      <w:keepNext w:val="1"/>
      <w:keepLines w:val="1"/>
      <w:pageBreakBefore w:val="0"/>
      <w:shd w:fill="ffffff" w:val="clear"/>
      <w:spacing w:after="40" w:before="240" w:line="288" w:lineRule="auto"/>
    </w:pPr>
    <w:rPr>
      <w:rFonts w:ascii="Nunito SemiBold" w:cs="Nunito SemiBold" w:eastAsia="Nunito SemiBold" w:hAnsi="Nunito SemiBold"/>
      <w:color w:val="045499"/>
      <w:sz w:val="28"/>
      <w:szCs w:val="28"/>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pPr>
    <w:rPr>
      <w:rFonts w:ascii="Nunito SemiBold" w:cs="Nunito SemiBold" w:eastAsia="Nunito SemiBold" w:hAnsi="Nunito SemiBold"/>
      <w:color w:val="045499"/>
      <w:sz w:val="60"/>
      <w:szCs w:val="60"/>
    </w:rPr>
  </w:style>
  <w:style w:type="paragraph" w:styleId="Subtitle">
    <w:name w:val="Subtitle"/>
    <w:basedOn w:val="Normal"/>
    <w:next w:val="Normal"/>
    <w:pPr>
      <w:keepNext w:val="1"/>
      <w:keepLines w:val="1"/>
      <w:pageBreakBefore w:val="0"/>
      <w:spacing w:after="320" w:lineRule="auto"/>
      <w:ind w:left="720" w:hanging="360"/>
    </w:pPr>
    <w:rPr>
      <w:rFonts w:ascii="Nunito" w:cs="Nunito" w:eastAsia="Nunito" w:hAnsi="Nunito"/>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egislation.gov.au/Series/C2004A04426" TargetMode="External"/><Relationship Id="rId7" Type="http://schemas.openxmlformats.org/officeDocument/2006/relationships/hyperlink" Target="https://www.w3.org/TR/WCAG21/"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NunitoLight-regular.ttf"/><Relationship Id="rId12" Type="http://schemas.openxmlformats.org/officeDocument/2006/relationships/font" Target="fonts/Lato-boldItalic.ttf"/><Relationship Id="rId1" Type="http://schemas.openxmlformats.org/officeDocument/2006/relationships/font" Target="fonts/NunitoSemiBold-regular.ttf"/><Relationship Id="rId2" Type="http://schemas.openxmlformats.org/officeDocument/2006/relationships/font" Target="fonts/NunitoSemiBold-bold.ttf"/><Relationship Id="rId3" Type="http://schemas.openxmlformats.org/officeDocument/2006/relationships/font" Target="fonts/NunitoSemiBold-italic.ttf"/><Relationship Id="rId4" Type="http://schemas.openxmlformats.org/officeDocument/2006/relationships/font" Target="fonts/NunitoSemiBold-boldItalic.ttf"/><Relationship Id="rId9" Type="http://schemas.openxmlformats.org/officeDocument/2006/relationships/font" Target="fonts/Lato-regular.ttf"/><Relationship Id="rId15" Type="http://schemas.openxmlformats.org/officeDocument/2006/relationships/font" Target="fonts/NunitoLight-italic.ttf"/><Relationship Id="rId14" Type="http://schemas.openxmlformats.org/officeDocument/2006/relationships/font" Target="fonts/NunitoLight-bold.ttf"/><Relationship Id="rId16" Type="http://schemas.openxmlformats.org/officeDocument/2006/relationships/font" Target="fonts/NunitoLight-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